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1C" w:rsidRPr="001C3894" w:rsidRDefault="004C6104" w:rsidP="00324281">
      <w:pPr>
        <w:pStyle w:val="20"/>
        <w:shd w:val="clear" w:color="auto" w:fill="auto"/>
        <w:spacing w:after="0" w:line="240" w:lineRule="auto"/>
        <w:ind w:left="3969"/>
        <w:jc w:val="both"/>
        <w:rPr>
          <w:b/>
          <w:sz w:val="28"/>
          <w:szCs w:val="28"/>
          <w:lang w:val="az-Latn-AZ"/>
        </w:rPr>
      </w:pPr>
      <w:r w:rsidRPr="001C3894">
        <w:rPr>
          <w:b/>
          <w:sz w:val="28"/>
          <w:szCs w:val="28"/>
          <w:lang w:val="az-Latn-AZ"/>
        </w:rPr>
        <w:t xml:space="preserve">Bakı şəhəri, </w:t>
      </w:r>
      <w:r w:rsidR="00C45AC0">
        <w:rPr>
          <w:b/>
          <w:sz w:val="28"/>
          <w:szCs w:val="28"/>
          <w:lang w:val="az-Latn-AZ"/>
        </w:rPr>
        <w:t>Yasamal</w:t>
      </w:r>
      <w:r w:rsidR="009C5783" w:rsidRPr="001C3894">
        <w:rPr>
          <w:b/>
          <w:sz w:val="28"/>
          <w:szCs w:val="28"/>
          <w:lang w:val="az-Latn-AZ"/>
        </w:rPr>
        <w:t xml:space="preserve"> </w:t>
      </w:r>
      <w:r w:rsidRPr="001C3894">
        <w:rPr>
          <w:b/>
          <w:sz w:val="28"/>
          <w:szCs w:val="28"/>
          <w:lang w:val="az-Latn-AZ"/>
        </w:rPr>
        <w:t>Rayon Məhkəməsi</w:t>
      </w:r>
    </w:p>
    <w:p w:rsidR="00B7491C" w:rsidRPr="001C3894" w:rsidRDefault="005B4339" w:rsidP="00324281">
      <w:pPr>
        <w:tabs>
          <w:tab w:val="left" w:pos="2410"/>
        </w:tabs>
        <w:spacing w:line="264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0C0F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  <w:r w:rsidR="00450C0F" w:rsidRPr="001C389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1C3894" w:rsidRPr="001C3894" w:rsidRDefault="001C3894" w:rsidP="00324281">
      <w:pPr>
        <w:pStyle w:val="NoSpacing"/>
        <w:spacing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İddiaçı:  </w:t>
      </w:r>
      <w:r w:rsidR="00C45AC0">
        <w:rPr>
          <w:rFonts w:ascii="Times New Roman" w:hAnsi="Times New Roman" w:cs="Times New Roman"/>
          <w:b/>
          <w:sz w:val="28"/>
          <w:szCs w:val="28"/>
          <w:lang w:val="az-Latn-AZ"/>
        </w:rPr>
        <w:t>Əliyev Əli Əlirza oğlu</w:t>
      </w:r>
    </w:p>
    <w:p w:rsidR="00C45AC0" w:rsidRDefault="001C3894" w:rsidP="00324281">
      <w:pPr>
        <w:pStyle w:val="NoSpacing"/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Ünvan: </w:t>
      </w:r>
      <w:r w:rsidR="00C45AC0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Bakı şəhəri, Yasamal rayonu, Ə.Quliyev küç., ev.12, m.10 </w:t>
      </w:r>
    </w:p>
    <w:p w:rsidR="001C3894" w:rsidRPr="001C3894" w:rsidRDefault="001C3894" w:rsidP="00324281">
      <w:pPr>
        <w:pStyle w:val="NoSpacing"/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b/>
          <w:sz w:val="28"/>
          <w:szCs w:val="28"/>
          <w:lang w:val="az-Latn-AZ"/>
        </w:rPr>
        <w:t>Tel:</w:t>
      </w:r>
      <w:r w:rsidRPr="001C389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4200BE">
        <w:rPr>
          <w:rFonts w:ascii="Times New Roman" w:eastAsia="Times New Roman" w:hAnsi="Times New Roman" w:cs="Times New Roman"/>
          <w:sz w:val="28"/>
          <w:szCs w:val="28"/>
          <w:lang w:val="az-Latn-AZ"/>
        </w:rPr>
        <w:t>000 000 00 00</w:t>
      </w:r>
      <w:bookmarkStart w:id="0" w:name="_GoBack"/>
      <w:bookmarkEnd w:id="0"/>
    </w:p>
    <w:p w:rsidR="00AC3C90" w:rsidRPr="001C3894" w:rsidRDefault="00AC3C90" w:rsidP="001C3894">
      <w:pPr>
        <w:pStyle w:val="20"/>
        <w:shd w:val="clear" w:color="auto" w:fill="auto"/>
        <w:spacing w:after="0" w:line="240" w:lineRule="auto"/>
        <w:ind w:left="3969" w:firstLine="567"/>
        <w:jc w:val="both"/>
        <w:rPr>
          <w:sz w:val="28"/>
          <w:szCs w:val="28"/>
          <w:lang w:val="az-Latn-AZ"/>
        </w:rPr>
      </w:pPr>
    </w:p>
    <w:p w:rsidR="00AC3C90" w:rsidRPr="001C3894" w:rsidRDefault="00AC3C90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b/>
          <w:bCs/>
          <w:sz w:val="28"/>
          <w:szCs w:val="28"/>
          <w:lang w:val="az-Latn-AZ"/>
        </w:rPr>
      </w:pPr>
    </w:p>
    <w:p w:rsidR="00AC3C90" w:rsidRPr="001C3894" w:rsidRDefault="00AC3C90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b/>
          <w:bCs/>
          <w:sz w:val="28"/>
          <w:szCs w:val="28"/>
          <w:lang w:val="az-Latn-AZ"/>
        </w:rPr>
      </w:pPr>
    </w:p>
    <w:p w:rsidR="00B7491C" w:rsidRPr="001C3894" w:rsidRDefault="00E632F7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b/>
          <w:sz w:val="28"/>
          <w:szCs w:val="28"/>
          <w:lang w:val="az-Latn-AZ"/>
        </w:rPr>
      </w:pPr>
      <w:r w:rsidRPr="001C3894">
        <w:rPr>
          <w:b/>
          <w:sz w:val="28"/>
          <w:szCs w:val="28"/>
          <w:lang w:val="az-Latn-AZ"/>
        </w:rPr>
        <w:t>Ə R İ Z Ə</w:t>
      </w:r>
    </w:p>
    <w:p w:rsidR="00B7491C" w:rsidRPr="001C3894" w:rsidRDefault="002D58B1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i/>
          <w:sz w:val="28"/>
          <w:szCs w:val="28"/>
          <w:lang w:val="az-Latn-AZ"/>
        </w:rPr>
      </w:pPr>
      <w:r w:rsidRPr="001C3894">
        <w:rPr>
          <w:i/>
          <w:sz w:val="28"/>
          <w:szCs w:val="28"/>
          <w:lang w:val="az-Latn-AZ"/>
        </w:rPr>
        <w:t xml:space="preserve"> (</w:t>
      </w:r>
      <w:r w:rsidR="00E632F7" w:rsidRPr="001C3894">
        <w:rPr>
          <w:i/>
          <w:sz w:val="28"/>
          <w:szCs w:val="28"/>
          <w:lang w:val="az-Latn-AZ"/>
        </w:rPr>
        <w:t>İddianın təmin olunması tələbinə</w:t>
      </w:r>
      <w:r w:rsidR="006929A0" w:rsidRPr="001C3894">
        <w:rPr>
          <w:i/>
          <w:sz w:val="28"/>
          <w:szCs w:val="28"/>
          <w:lang w:val="az-Latn-AZ"/>
        </w:rPr>
        <w:t xml:space="preserve"> dair)</w:t>
      </w:r>
    </w:p>
    <w:p w:rsidR="00597E44" w:rsidRPr="001C3894" w:rsidRDefault="00597E44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i/>
          <w:sz w:val="28"/>
          <w:szCs w:val="28"/>
          <w:lang w:val="az-Latn-AZ"/>
        </w:rPr>
      </w:pPr>
    </w:p>
    <w:p w:rsidR="00B7491C" w:rsidRPr="001C3894" w:rsidRDefault="00B7491C" w:rsidP="001C3894">
      <w:pPr>
        <w:pStyle w:val="20"/>
        <w:shd w:val="clear" w:color="auto" w:fill="auto"/>
        <w:spacing w:after="0" w:line="240" w:lineRule="auto"/>
        <w:ind w:right="47" w:firstLine="567"/>
        <w:rPr>
          <w:sz w:val="28"/>
          <w:szCs w:val="28"/>
          <w:lang w:val="az-Latn-AZ"/>
        </w:rPr>
      </w:pPr>
      <w:r w:rsidRPr="001C3894">
        <w:rPr>
          <w:sz w:val="28"/>
          <w:szCs w:val="28"/>
          <w:lang w:val="az-Latn-AZ"/>
        </w:rPr>
        <w:t xml:space="preserve">    </w:t>
      </w:r>
    </w:p>
    <w:p w:rsidR="001C3894" w:rsidRDefault="00235063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Tərəfimdəm Azəriqaz İstehsalat Birliyinə qarşı 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Yasamal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rayon Məhkəməsinə müraciət olunaraq </w:t>
      </w:r>
      <w:r w:rsidR="00C45AC0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Bakı şəhəri, Yasamal rayonu, Ə.Quliyev küç., ev.12, m.10 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ünvanında yerləşən mənzilə əsassız olaraq borc kimi yazılmış olan 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700</w:t>
      </w:r>
      <w:r w:rsidR="001C3894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>manatın Azəriqaz İstehsalat Birliyi tərəfindən silinməsi barədə qətnamə qəbul olunması xahiş edilmişdir.</w:t>
      </w:r>
      <w:r w:rsidR="001C3894">
        <w:rPr>
          <w:rFonts w:ascii="Times New Roman" w:hAnsi="Times New Roman" w:cs="Times New Roman"/>
          <w:sz w:val="28"/>
          <w:szCs w:val="28"/>
          <w:lang w:val="az-Latn-AZ"/>
        </w:rPr>
        <w:t xml:space="preserve"> Qeyd etmək istərdim ki hal-hazırda GPR 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0000000</w:t>
      </w:r>
      <w:r w:rsidR="001C3894">
        <w:rPr>
          <w:rFonts w:ascii="Times New Roman" w:hAnsi="Times New Roman" w:cs="Times New Roman"/>
          <w:sz w:val="28"/>
          <w:szCs w:val="28"/>
          <w:lang w:val="az-Latn-AZ"/>
        </w:rPr>
        <w:t xml:space="preserve"> saylı smart kart blok olunmuş və 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3894">
        <w:rPr>
          <w:rFonts w:ascii="Times New Roman" w:hAnsi="Times New Roman" w:cs="Times New Roman"/>
          <w:sz w:val="28"/>
          <w:szCs w:val="28"/>
          <w:lang w:val="az-Latn-AZ"/>
        </w:rPr>
        <w:t xml:space="preserve">bu səbəbdən həmin ünvanda təbii qaz yoxdur. 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>Hesab edirik ki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həmin işə baxılıb qurtarana qədər qeyd olunan ünvana qaz verilişinin dayandırılması və qaz kartına yüklənən puldan hər hansı bir hissəsinin borc üçün çıxılmasının Azəriqaz İstehsalat Birliyinə</w:t>
      </w:r>
      <w:r w:rsidR="001C3894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qadağan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olunması barədə qərardad qəbul olunmalıdır.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Azərbaycan Respublikası Konstitusiyasının  26-cı maddəsində qeyd edilir ki, “I. Hər kəsin qanunla qadağan olnumayan üsul və vasitələrə öz hüquqlarını və azadlıqlarını müdafiə etmək hüququ vardır; II. Dövlət hər kəsin hüquqlarının və azadlıqlarının müdafiəsinə təminat verir”.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Azərbaycan Respublikası Konstitusiyasının 60-cı maddəsinin 1-ci hissəsində və 127-ci maddəsinin 2-ci və 4-cü hissəsində qeyd edilir ki, “</w:t>
      </w:r>
      <w:r w:rsidRPr="001C3894">
        <w:rPr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>Hər kəsin hüquq və azadlıqlarının inzibati qaydada və məhkəmədə müdafiəsinə təminat verilir</w:t>
      </w:r>
      <w:r w:rsidRPr="001C3894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; Hakimlər işlərə qərəzsiz, ədalətlə, tərəflərin hüquq bərabərliyinə, faktlara əsasən və qanuna müvafiq baxırlar; Ədalət mühakiməsi vətəndaşların qanun və məhkəmə qarşısında bərabərliyi əsasında həyata keçirilir”.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Eyni zamanda bildirmək istəyirəm ki, məhkəmə qərarının icrası ilə bağlı </w:t>
      </w:r>
      <w:r w:rsidRPr="001C38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Hornsbi Yunanıstana qarşı (19 mart 1997-ci il) 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məhkəmə işində Avropa məhkəməsi belə qənaətə gəlmişdir ki, razılığa gələn Dövlətlərin daxili hüquq sistemləri məcburi qüvvəyə malik yekun məhkəmə qərarının tərəflərdən birinin ziyanına olaraq icra olunmadan qalmasına yol versəydi, 6-cı maddə ilə təmin olunan məhkəməyə müraciət hüququ </w:t>
      </w:r>
      <w:r w:rsidRPr="001C3894">
        <w:rPr>
          <w:rFonts w:ascii="Times New Roman" w:hAnsi="Times New Roman" w:cs="Times New Roman"/>
          <w:i/>
          <w:sz w:val="28"/>
          <w:szCs w:val="28"/>
          <w:u w:val="single"/>
          <w:lang w:val="az-Latn-AZ"/>
        </w:rPr>
        <w:t>xəyali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 hüquq olardı.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>Tarverdiyev Azərbaycana qarşı (26 iyul 2007-ci il) iş üzrə Məhkəmə vurğulamışdır ki, icranın təmin edilməməsi prosesi “</w:t>
      </w:r>
      <w:r w:rsidRPr="001C3894">
        <w:rPr>
          <w:rFonts w:ascii="Times New Roman" w:hAnsi="Times New Roman" w:cs="Times New Roman"/>
          <w:i/>
          <w:sz w:val="28"/>
          <w:szCs w:val="28"/>
          <w:lang w:val="az-Latn-AZ"/>
        </w:rPr>
        <w:t>ədalətli məhkəmə araşdırmasının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>” tərkib hissəsi sayılır.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“Ədalət mühakiməsinin həyata keçirilməsi zamanı “</w:t>
      </w:r>
      <w:r w:rsidRPr="001C3894">
        <w:rPr>
          <w:rFonts w:ascii="Times New Roman" w:hAnsi="Times New Roman" w:cs="Times New Roman"/>
          <w:i/>
          <w:sz w:val="28"/>
          <w:szCs w:val="28"/>
          <w:lang w:val="az-Latn-AZ"/>
        </w:rPr>
        <w:t>İnsan Hüquqlarının və Əsas Azadlıqlarının Müdafiəsi Haqqında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>” Avropa Konvensiyasının müddəalarının və İnsan hüquqları üzrə Avropa məhkəməsinin presedentlərinin tətbiqi haqqında” Azərbaycan Respublikası Ali Məhkəməsinin 30 mart 2006-cı il tarixli, 2 №-li qərarının 2-ci bəndinə əsasən Azərbaycan Respublikası “</w:t>
      </w:r>
      <w:r w:rsidRPr="001C3894">
        <w:rPr>
          <w:rFonts w:ascii="Times New Roman" w:hAnsi="Times New Roman" w:cs="Times New Roman"/>
          <w:i/>
          <w:sz w:val="28"/>
          <w:szCs w:val="28"/>
          <w:lang w:val="az-Latn-AZ"/>
        </w:rPr>
        <w:t>İnsan hüquqlarının və Əsas Azadlıqların Müdafiəsi Haqqında</w:t>
      </w:r>
      <w:r w:rsidRPr="001C3894">
        <w:rPr>
          <w:rFonts w:ascii="Times New Roman" w:hAnsi="Times New Roman" w:cs="Times New Roman"/>
          <w:sz w:val="28"/>
          <w:szCs w:val="28"/>
          <w:lang w:val="az-Latn-AZ"/>
        </w:rPr>
        <w:t>” Avropa Konvensiyasının iştirakçısı və onu 2002-ci ilin aprel ayının 15-də ratifikasiya etmiş dövlət kimi Konvensiya və onun Protokollarını təfsiri və tətbiqi məsələləri üzrə İnsan Hüquqları üzrə Avropa Məhkəməsinin yurisdiksiyasının məcburiliyini tanıyır.</w:t>
      </w:r>
      <w:r w:rsidRPr="001C3894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>Azərbaycan Respublikası MPM-nin 157.1-ci maddəsinə əsasən hakim işdə iştirak edən şəxsin ərizəsi ilə iddianı təmin etmək üçün tədbirlər görə bilər. İddianın təmin edilməsinə prosesin istənilən mərhələsində yol verilir”.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MPM-nin 158.1.2-ci maddəsinə əsasən məhkəmə iddianı təmin etmək üçün müəyyən hərəkətləri etməyi cavabdehə qadağan edə bilər. </w:t>
      </w:r>
    </w:p>
    <w:p w:rsidR="001C3894" w:rsidRDefault="00E632F7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>Həmin Məcəllənin 158.1.3.-cü maddəsinə əsasən məhkəmə iddianı təmin etmək üçün mübahisə predmetinə aid olan müəyyən hərəkətləri etməyi başqa şəxslərə qadağan edə bilər.</w:t>
      </w:r>
    </w:p>
    <w:p w:rsidR="005B4339" w:rsidRPr="001C3894" w:rsidRDefault="005B4339" w:rsidP="001C389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>Odur ki yuxarıda qeyd olunanlara əsasən Məhkəmədən</w:t>
      </w:r>
    </w:p>
    <w:p w:rsidR="005B4339" w:rsidRPr="001C3894" w:rsidRDefault="005B4339" w:rsidP="001C3894">
      <w:pPr>
        <w:pStyle w:val="20"/>
        <w:shd w:val="clear" w:color="auto" w:fill="auto"/>
        <w:spacing w:after="0" w:line="240" w:lineRule="auto"/>
        <w:ind w:right="47" w:firstLine="567"/>
        <w:jc w:val="both"/>
        <w:rPr>
          <w:sz w:val="28"/>
          <w:szCs w:val="28"/>
          <w:lang w:val="az-Latn-AZ"/>
        </w:rPr>
      </w:pPr>
    </w:p>
    <w:p w:rsidR="00B7491C" w:rsidRPr="001C3894" w:rsidRDefault="00B7491C" w:rsidP="001C3894">
      <w:pPr>
        <w:pStyle w:val="20"/>
        <w:shd w:val="clear" w:color="auto" w:fill="auto"/>
        <w:spacing w:after="0" w:line="240" w:lineRule="auto"/>
        <w:ind w:right="47" w:firstLine="567"/>
        <w:jc w:val="center"/>
        <w:rPr>
          <w:sz w:val="28"/>
          <w:szCs w:val="28"/>
          <w:lang w:val="az-Latn-AZ"/>
        </w:rPr>
      </w:pPr>
      <w:r w:rsidRPr="001C3894">
        <w:rPr>
          <w:b/>
          <w:sz w:val="28"/>
          <w:szCs w:val="28"/>
          <w:lang w:val="az-Latn-AZ"/>
        </w:rPr>
        <w:t>XAHİŞ EDİR</w:t>
      </w:r>
      <w:r w:rsidR="00D22579" w:rsidRPr="001C3894">
        <w:rPr>
          <w:b/>
          <w:sz w:val="28"/>
          <w:szCs w:val="28"/>
          <w:lang w:val="az-Latn-AZ"/>
        </w:rPr>
        <w:t>İK</w:t>
      </w:r>
      <w:r w:rsidRPr="001C3894">
        <w:rPr>
          <w:b/>
          <w:sz w:val="28"/>
          <w:szCs w:val="28"/>
          <w:lang w:val="az-Latn-AZ"/>
        </w:rPr>
        <w:t>:</w:t>
      </w:r>
    </w:p>
    <w:p w:rsidR="001C3894" w:rsidRDefault="001C3894" w:rsidP="001C3894">
      <w:pPr>
        <w:pStyle w:val="20"/>
        <w:shd w:val="clear" w:color="auto" w:fill="auto"/>
        <w:spacing w:after="0" w:line="240" w:lineRule="auto"/>
        <w:ind w:right="47" w:firstLine="567"/>
        <w:jc w:val="both"/>
        <w:rPr>
          <w:sz w:val="28"/>
          <w:szCs w:val="28"/>
          <w:lang w:val="az-Latn-AZ"/>
        </w:rPr>
      </w:pPr>
    </w:p>
    <w:p w:rsidR="005B4339" w:rsidRPr="001C3894" w:rsidRDefault="0082431C" w:rsidP="001C3894">
      <w:pPr>
        <w:pStyle w:val="NoSpacing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Hazırkı mülki işə baxılıb qurtarılana kimi </w:t>
      </w:r>
      <w:r w:rsidR="00C45AC0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Bakı şəhəri, Yasamal rayonu, Ə.Quliyev küç., ev.12, m.10 </w:t>
      </w:r>
      <w:r w:rsidR="001C389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ünvanı üçün </w:t>
      </w:r>
      <w:r w:rsidR="00235063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(Abonent kodu 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000000000000000</w:t>
      </w:r>
      <w:r w:rsidR="00235063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1C3894">
        <w:rPr>
          <w:rFonts w:ascii="Times New Roman" w:hAnsi="Times New Roman" w:cs="Times New Roman"/>
          <w:sz w:val="28"/>
          <w:szCs w:val="28"/>
          <w:lang w:val="az-Latn-AZ"/>
        </w:rPr>
        <w:t xml:space="preserve">GPG  </w:t>
      </w:r>
      <w:r w:rsidR="00C45AC0">
        <w:rPr>
          <w:rFonts w:ascii="Times New Roman" w:hAnsi="Times New Roman" w:cs="Times New Roman"/>
          <w:sz w:val="28"/>
          <w:szCs w:val="28"/>
          <w:lang w:val="az-Latn-AZ"/>
        </w:rPr>
        <w:t>0000000</w:t>
      </w:r>
      <w:r w:rsidR="001C3894">
        <w:rPr>
          <w:rFonts w:ascii="Times New Roman" w:hAnsi="Times New Roman" w:cs="Times New Roman"/>
          <w:sz w:val="28"/>
          <w:szCs w:val="28"/>
          <w:lang w:val="az-Latn-AZ"/>
        </w:rPr>
        <w:t xml:space="preserve"> saylı smart kartın blokdan çıxarılması, həmin ünvana </w:t>
      </w:r>
      <w:r w:rsidR="00235063" w:rsidRPr="001C3894">
        <w:rPr>
          <w:rFonts w:ascii="Times New Roman" w:hAnsi="Times New Roman" w:cs="Times New Roman"/>
          <w:sz w:val="28"/>
          <w:szCs w:val="28"/>
          <w:lang w:val="az-Latn-AZ"/>
        </w:rPr>
        <w:t xml:space="preserve">qazın verilişinin dayandırılmasının və qaz kartına yüklənən puldan hər hansı bir hissəsinin borc üçün çıxılmasının “Azəriqaz İstehsalat Birliyinə” qadağan edilməsi barədə qərardad qəbul edəsiniz. </w:t>
      </w:r>
    </w:p>
    <w:p w:rsidR="00B7491C" w:rsidRPr="001C3894" w:rsidRDefault="00B7491C" w:rsidP="001C3894">
      <w:pPr>
        <w:pStyle w:val="mecelle"/>
        <w:spacing w:before="0" w:beforeAutospacing="0" w:after="60" w:afterAutospacing="0"/>
        <w:ind w:firstLine="567"/>
        <w:jc w:val="both"/>
        <w:rPr>
          <w:sz w:val="28"/>
          <w:szCs w:val="28"/>
          <w:lang w:val="az-Latn-AZ"/>
        </w:rPr>
      </w:pPr>
      <w:r w:rsidRPr="001C3894">
        <w:rPr>
          <w:sz w:val="28"/>
          <w:szCs w:val="28"/>
          <w:lang w:val="az-Latn-AZ"/>
        </w:rPr>
        <w:t xml:space="preserve">  </w:t>
      </w:r>
    </w:p>
    <w:p w:rsidR="00D22579" w:rsidRPr="001C3894" w:rsidRDefault="00D22579" w:rsidP="001C389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D22579" w:rsidRPr="001C3894" w:rsidRDefault="00C45AC0" w:rsidP="001C3894">
      <w:pPr>
        <w:ind w:firstLine="567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Əliyev Əli Əlirza oğlu</w:t>
      </w:r>
    </w:p>
    <w:sectPr w:rsidR="00D22579" w:rsidRPr="001C3894" w:rsidSect="007C4CA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0D" w:rsidRDefault="00C4770D" w:rsidP="00F85F4D">
      <w:pPr>
        <w:spacing w:after="0" w:line="240" w:lineRule="auto"/>
      </w:pPr>
      <w:r>
        <w:separator/>
      </w:r>
    </w:p>
  </w:endnote>
  <w:endnote w:type="continuationSeparator" w:id="0">
    <w:p w:rsidR="00C4770D" w:rsidRDefault="00C4770D" w:rsidP="00F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0D" w:rsidRDefault="00C4770D" w:rsidP="00F85F4D">
      <w:pPr>
        <w:spacing w:after="0" w:line="240" w:lineRule="auto"/>
      </w:pPr>
      <w:r>
        <w:separator/>
      </w:r>
    </w:p>
  </w:footnote>
  <w:footnote w:type="continuationSeparator" w:id="0">
    <w:p w:rsidR="00C4770D" w:rsidRDefault="00C4770D" w:rsidP="00F8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AA5"/>
    <w:multiLevelType w:val="hybridMultilevel"/>
    <w:tmpl w:val="255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C"/>
    <w:rsid w:val="00000FB3"/>
    <w:rsid w:val="000101FB"/>
    <w:rsid w:val="00011872"/>
    <w:rsid w:val="0002437F"/>
    <w:rsid w:val="0004073C"/>
    <w:rsid w:val="0006644C"/>
    <w:rsid w:val="000B11B2"/>
    <w:rsid w:val="000B51AF"/>
    <w:rsid w:val="000C3FA5"/>
    <w:rsid w:val="000F1E8C"/>
    <w:rsid w:val="000F38C9"/>
    <w:rsid w:val="00135C14"/>
    <w:rsid w:val="001B53CA"/>
    <w:rsid w:val="001C3894"/>
    <w:rsid w:val="001D31DE"/>
    <w:rsid w:val="001D38F8"/>
    <w:rsid w:val="001E535E"/>
    <w:rsid w:val="00215361"/>
    <w:rsid w:val="00215751"/>
    <w:rsid w:val="00226FD2"/>
    <w:rsid w:val="00235063"/>
    <w:rsid w:val="0023689A"/>
    <w:rsid w:val="00241934"/>
    <w:rsid w:val="00273945"/>
    <w:rsid w:val="00276E3C"/>
    <w:rsid w:val="002A518E"/>
    <w:rsid w:val="002C1794"/>
    <w:rsid w:val="002C28C3"/>
    <w:rsid w:val="002C61C4"/>
    <w:rsid w:val="002D58B1"/>
    <w:rsid w:val="002F20A1"/>
    <w:rsid w:val="00324281"/>
    <w:rsid w:val="0032567A"/>
    <w:rsid w:val="003510FA"/>
    <w:rsid w:val="00360F63"/>
    <w:rsid w:val="00372F44"/>
    <w:rsid w:val="003C3665"/>
    <w:rsid w:val="003C582D"/>
    <w:rsid w:val="003C6EC5"/>
    <w:rsid w:val="003D4A45"/>
    <w:rsid w:val="0041018B"/>
    <w:rsid w:val="004177F4"/>
    <w:rsid w:val="004200BE"/>
    <w:rsid w:val="00423EA0"/>
    <w:rsid w:val="00437B7C"/>
    <w:rsid w:val="00442D14"/>
    <w:rsid w:val="00450C0F"/>
    <w:rsid w:val="00462A28"/>
    <w:rsid w:val="00476736"/>
    <w:rsid w:val="00497FD7"/>
    <w:rsid w:val="004A6540"/>
    <w:rsid w:val="004B6756"/>
    <w:rsid w:val="004C6104"/>
    <w:rsid w:val="00540C7A"/>
    <w:rsid w:val="00547748"/>
    <w:rsid w:val="005753B0"/>
    <w:rsid w:val="0059422B"/>
    <w:rsid w:val="00597E44"/>
    <w:rsid w:val="005A63D1"/>
    <w:rsid w:val="005B19EA"/>
    <w:rsid w:val="005B4339"/>
    <w:rsid w:val="005D729C"/>
    <w:rsid w:val="005E56DA"/>
    <w:rsid w:val="005E6E39"/>
    <w:rsid w:val="00637899"/>
    <w:rsid w:val="0064353E"/>
    <w:rsid w:val="00647A70"/>
    <w:rsid w:val="00655285"/>
    <w:rsid w:val="00657F26"/>
    <w:rsid w:val="00664292"/>
    <w:rsid w:val="00682F21"/>
    <w:rsid w:val="006929A0"/>
    <w:rsid w:val="006A6490"/>
    <w:rsid w:val="006E2941"/>
    <w:rsid w:val="00722AF4"/>
    <w:rsid w:val="007326C4"/>
    <w:rsid w:val="00762AE2"/>
    <w:rsid w:val="00784EA6"/>
    <w:rsid w:val="00790015"/>
    <w:rsid w:val="007A52BD"/>
    <w:rsid w:val="007C4CA7"/>
    <w:rsid w:val="007E32DF"/>
    <w:rsid w:val="007E7655"/>
    <w:rsid w:val="007F53E3"/>
    <w:rsid w:val="00801D0E"/>
    <w:rsid w:val="0080724C"/>
    <w:rsid w:val="0082431C"/>
    <w:rsid w:val="008301DA"/>
    <w:rsid w:val="00834106"/>
    <w:rsid w:val="0084628C"/>
    <w:rsid w:val="0085374E"/>
    <w:rsid w:val="008564E1"/>
    <w:rsid w:val="00863886"/>
    <w:rsid w:val="00881F98"/>
    <w:rsid w:val="008933D7"/>
    <w:rsid w:val="008D0ABE"/>
    <w:rsid w:val="008D5C61"/>
    <w:rsid w:val="00901688"/>
    <w:rsid w:val="00902934"/>
    <w:rsid w:val="00923E2B"/>
    <w:rsid w:val="00926906"/>
    <w:rsid w:val="009611CD"/>
    <w:rsid w:val="00973E5D"/>
    <w:rsid w:val="0098744A"/>
    <w:rsid w:val="009A0F19"/>
    <w:rsid w:val="009B3575"/>
    <w:rsid w:val="009C5783"/>
    <w:rsid w:val="009D1EE9"/>
    <w:rsid w:val="009D7F20"/>
    <w:rsid w:val="009E61D4"/>
    <w:rsid w:val="00A12781"/>
    <w:rsid w:val="00A43F05"/>
    <w:rsid w:val="00A44F60"/>
    <w:rsid w:val="00A472A9"/>
    <w:rsid w:val="00A65D55"/>
    <w:rsid w:val="00A759F1"/>
    <w:rsid w:val="00A843BE"/>
    <w:rsid w:val="00A85B31"/>
    <w:rsid w:val="00A86AED"/>
    <w:rsid w:val="00AC08E8"/>
    <w:rsid w:val="00AC3C90"/>
    <w:rsid w:val="00AE775F"/>
    <w:rsid w:val="00B26CC4"/>
    <w:rsid w:val="00B42F67"/>
    <w:rsid w:val="00B629BA"/>
    <w:rsid w:val="00B7491C"/>
    <w:rsid w:val="00BA07CB"/>
    <w:rsid w:val="00BF2506"/>
    <w:rsid w:val="00BF4DC4"/>
    <w:rsid w:val="00C04940"/>
    <w:rsid w:val="00C07F71"/>
    <w:rsid w:val="00C3032B"/>
    <w:rsid w:val="00C45AC0"/>
    <w:rsid w:val="00C47065"/>
    <w:rsid w:val="00C4770D"/>
    <w:rsid w:val="00C60165"/>
    <w:rsid w:val="00C85F18"/>
    <w:rsid w:val="00CA02D2"/>
    <w:rsid w:val="00CA12A7"/>
    <w:rsid w:val="00CB3D8E"/>
    <w:rsid w:val="00CD543C"/>
    <w:rsid w:val="00D22579"/>
    <w:rsid w:val="00D402B3"/>
    <w:rsid w:val="00D46A57"/>
    <w:rsid w:val="00D91962"/>
    <w:rsid w:val="00DA6C71"/>
    <w:rsid w:val="00DA7D24"/>
    <w:rsid w:val="00DB5561"/>
    <w:rsid w:val="00DC0BD7"/>
    <w:rsid w:val="00DF07E8"/>
    <w:rsid w:val="00DF0EC7"/>
    <w:rsid w:val="00E0516F"/>
    <w:rsid w:val="00E1026D"/>
    <w:rsid w:val="00E15E21"/>
    <w:rsid w:val="00E21548"/>
    <w:rsid w:val="00E467C6"/>
    <w:rsid w:val="00E632F7"/>
    <w:rsid w:val="00E85C5D"/>
    <w:rsid w:val="00E906D6"/>
    <w:rsid w:val="00E976B2"/>
    <w:rsid w:val="00EA56F8"/>
    <w:rsid w:val="00EB121A"/>
    <w:rsid w:val="00ED4F85"/>
    <w:rsid w:val="00F02997"/>
    <w:rsid w:val="00F25511"/>
    <w:rsid w:val="00F8022E"/>
    <w:rsid w:val="00F85F4D"/>
    <w:rsid w:val="00FD43BB"/>
    <w:rsid w:val="00FD6322"/>
    <w:rsid w:val="00FE2A46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6997-79CC-4AB1-8A85-9A7AE2A9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1C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locked/>
    <w:rsid w:val="00B749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7491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mecelle">
    <w:name w:val="mecelle"/>
    <w:basedOn w:val="Normal"/>
    <w:rsid w:val="00B7491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dnoteReference">
    <w:name w:val="endnote reference"/>
    <w:basedOn w:val="DefaultParagraphFont"/>
    <w:semiHidden/>
    <w:unhideWhenUsed/>
    <w:rsid w:val="007F53E3"/>
  </w:style>
  <w:style w:type="character" w:customStyle="1" w:styleId="apple-converted-space">
    <w:name w:val="apple-converted-space"/>
    <w:basedOn w:val="DefaultParagraphFont"/>
    <w:rsid w:val="004B6756"/>
  </w:style>
  <w:style w:type="character" w:styleId="Emphasis">
    <w:name w:val="Emphasis"/>
    <w:basedOn w:val="DefaultParagraphFont"/>
    <w:qFormat/>
    <w:rsid w:val="00657F26"/>
    <w:rPr>
      <w:i/>
      <w:iCs/>
    </w:rPr>
  </w:style>
  <w:style w:type="paragraph" w:styleId="EndnoteText">
    <w:name w:val="endnote text"/>
    <w:basedOn w:val="Normal"/>
    <w:link w:val="EndnoteTextChar"/>
    <w:semiHidden/>
    <w:rsid w:val="00F85F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85F4D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customStyle="1" w:styleId="text11">
    <w:name w:val="text11"/>
    <w:basedOn w:val="DefaultParagraphFont"/>
    <w:rsid w:val="00F85F4D"/>
    <w:rPr>
      <w:rFonts w:ascii="Lucida Sans Unicode" w:hAnsi="Lucida Sans Unicode" w:cs="Lucida Sans Unicode"/>
      <w:color w:val="000000"/>
      <w:sz w:val="15"/>
      <w:szCs w:val="15"/>
      <w:u w:val="none"/>
      <w:effect w:val="none"/>
    </w:rPr>
  </w:style>
  <w:style w:type="paragraph" w:customStyle="1" w:styleId="Mecelle0">
    <w:name w:val="Mecelle"/>
    <w:basedOn w:val="NormalWeb"/>
    <w:link w:val="MecelleChar"/>
    <w:rsid w:val="00C3032B"/>
    <w:pPr>
      <w:tabs>
        <w:tab w:val="left" w:pos="397"/>
      </w:tabs>
      <w:spacing w:after="0" w:line="240" w:lineRule="auto"/>
      <w:ind w:firstLine="360"/>
      <w:jc w:val="both"/>
    </w:pPr>
    <w:rPr>
      <w:rFonts w:ascii="Palatino Linotype" w:eastAsia="Times New Roman" w:hAnsi="Palatino Linotype" w:cs="Tahoma"/>
      <w:sz w:val="22"/>
      <w:szCs w:val="22"/>
      <w:lang w:val="en-GB" w:eastAsia="en-GB"/>
    </w:rPr>
  </w:style>
  <w:style w:type="character" w:customStyle="1" w:styleId="MecelleChar">
    <w:name w:val="Mecelle Char"/>
    <w:basedOn w:val="DefaultParagraphFont"/>
    <w:link w:val="Mecelle0"/>
    <w:locked/>
    <w:rsid w:val="00C3032B"/>
    <w:rPr>
      <w:rFonts w:ascii="Palatino Linotype" w:eastAsia="Times New Roman" w:hAnsi="Palatino Linotype" w:cs="Tahoma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3032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Inara Manafova</cp:lastModifiedBy>
  <cp:revision>8</cp:revision>
  <cp:lastPrinted>2017-06-22T13:16:00Z</cp:lastPrinted>
  <dcterms:created xsi:type="dcterms:W3CDTF">2018-10-13T16:59:00Z</dcterms:created>
  <dcterms:modified xsi:type="dcterms:W3CDTF">2018-11-29T05:58:00Z</dcterms:modified>
</cp:coreProperties>
</file>